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C5" w:rsidRDefault="00E07DC5" w:rsidP="00DC689F">
      <w:pPr>
        <w:pStyle w:val="a3"/>
        <w:ind w:left="114"/>
        <w:rPr>
          <w:rFonts w:ascii="Times New Roman"/>
          <w:sz w:val="20"/>
          <w:lang w:val="ru-RU"/>
        </w:rPr>
      </w:pPr>
    </w:p>
    <w:p w:rsidR="00E07DC5" w:rsidRDefault="00E07DC5" w:rsidP="00DC689F">
      <w:pPr>
        <w:pStyle w:val="a3"/>
        <w:ind w:left="114"/>
        <w:rPr>
          <w:rFonts w:ascii="Times New Roman"/>
          <w:sz w:val="20"/>
          <w:lang w:val="ru-RU"/>
        </w:rPr>
      </w:pPr>
    </w:p>
    <w:p w:rsidR="007814F9" w:rsidRPr="00E07DC5" w:rsidRDefault="00E07DC5" w:rsidP="00DC689F">
      <w:pPr>
        <w:pStyle w:val="a3"/>
        <w:ind w:lef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  <w:t xml:space="preserve">    </w:t>
      </w:r>
      <w:bookmarkStart w:id="0" w:name="_GoBack"/>
      <w:bookmarkEnd w:id="0"/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1838" w:rsidRPr="00E07D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814F9" w:rsidRPr="008F085D" w:rsidRDefault="007814F9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6872E7" w:rsidRDefault="001A0719" w:rsidP="001A0719">
      <w:pPr>
        <w:tabs>
          <w:tab w:val="left" w:pos="1276"/>
        </w:tabs>
        <w:spacing w:before="69"/>
        <w:ind w:left="2880" w:right="282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B215F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Pr="006872E7" w:rsidRDefault="006872E7" w:rsidP="00253D68">
      <w:pPr>
        <w:tabs>
          <w:tab w:val="left" w:pos="1276"/>
        </w:tabs>
        <w:ind w:left="284" w:right="2830" w:firstLine="115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215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A0719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="00CB215F">
        <w:rPr>
          <w:rFonts w:ascii="Times New Roman" w:hAnsi="Times New Roman" w:cs="Times New Roman"/>
          <w:sz w:val="24"/>
          <w:szCs w:val="24"/>
          <w:lang w:val="ru-RU"/>
        </w:rPr>
        <w:t xml:space="preserve"> Сметы</w:t>
      </w:r>
      <w:r w:rsidR="006023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F4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A24370" w:rsidRPr="006872E7">
        <w:rPr>
          <w:rFonts w:ascii="Times New Roman" w:hAnsi="Times New Roman" w:cs="Times New Roman"/>
          <w:sz w:val="24"/>
          <w:szCs w:val="24"/>
          <w:lang w:val="ru-RU"/>
        </w:rPr>
        <w:t>оекта</w:t>
      </w:r>
      <w:r w:rsidR="001A0719">
        <w:rPr>
          <w:rFonts w:ascii="Times New Roman" w:hAnsi="Times New Roman" w:cs="Times New Roman"/>
          <w:sz w:val="24"/>
          <w:szCs w:val="24"/>
          <w:lang w:val="ru-RU"/>
        </w:rPr>
        <w:t xml:space="preserve">, финансируемого </w:t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A3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0719">
        <w:rPr>
          <w:rFonts w:ascii="Times New Roman" w:hAnsi="Times New Roman" w:cs="Times New Roman"/>
          <w:sz w:val="24"/>
          <w:szCs w:val="24"/>
          <w:lang w:val="ru-RU"/>
        </w:rPr>
        <w:t>по программе Фонда «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производительности труда</w:t>
      </w:r>
      <w:r w:rsidR="001A071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814F9" w:rsidRPr="006872E7" w:rsidRDefault="007814F9" w:rsidP="00253D6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 xml:space="preserve">Смета проекта – документ, определяющий порядок и условия несения расходов в проекте как в части средств займа, так и в части средств софинансирования проекта со стороны 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872E7">
        <w:rPr>
          <w:rFonts w:ascii="Times New Roman" w:hAnsi="Times New Roman" w:cs="Times New Roman"/>
          <w:sz w:val="24"/>
          <w:szCs w:val="24"/>
          <w:lang w:val="ru-RU"/>
        </w:rPr>
        <w:t>аявителя.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является частью Резюме проекта и заполняется Заявителем для прохождения этапа Экспресс-оценки.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содержательно связана с Календарным планом.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Распределение средств в Смете должно соответствовать требованиям Порядка «Условия и порядок отбора проектов для финансирования по программе «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Повышение производительности труда</w:t>
      </w:r>
      <w:r w:rsidRPr="006872E7">
        <w:rPr>
          <w:rFonts w:ascii="Times New Roman" w:hAnsi="Times New Roman" w:cs="Times New Roman"/>
          <w:sz w:val="24"/>
          <w:szCs w:val="24"/>
          <w:lang w:val="ru-RU"/>
        </w:rPr>
        <w:t>» Фонда развития промышленности Пензенской области (далее – Фонд) в части направлений целевого использования и ограничений, установленных в отношении отдельных групп расходов.</w:t>
      </w:r>
    </w:p>
    <w:p w:rsidR="00E0590E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впоследствии будет являться частью договора целевого займа, заключаемого с Фондом.</w:t>
      </w:r>
    </w:p>
    <w:p w:rsidR="00E0590E" w:rsidRPr="006872E7" w:rsidRDefault="00E0590E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Формат Сметы проекта предусматривает разнесение всех расходов:</w:t>
      </w: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ab/>
        <w:t>По горизонтальным строкам - Направления целевого использования средств.</w:t>
      </w:r>
    </w:p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ab/>
        <w:t>По вертикали - Виды затрат внутри каждого направления расходования средств.</w:t>
      </w:r>
    </w:p>
    <w:p w:rsidR="00E0590E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Расходы, которые могут быть запланированы Заявителем за счет средств займа, в Смете отмечены пустым полем.</w:t>
      </w:r>
    </w:p>
    <w:p w:rsid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Расходы по проекту, финансирование которых не может быть произведено в рамках проекта, помечены в Смете значком «х».</w:t>
      </w:r>
    </w:p>
    <w:p w:rsidR="00E0590E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Для акцепта платежей на этапах выполнения договора целевого займа Фондом введен специальный термин «код ЦРС» – код целевого расходования средств по договору целевого займа. Этот цифровой код образуют пересечения строк и столбцов Сметы.</w:t>
      </w:r>
    </w:p>
    <w:p w:rsidR="00F54A22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Код ЦРС формируется следующим образом: первая цифра – порядковый номер направления целевого использования средств, вторая цифра – порядковый номер вида затрат.</w:t>
      </w:r>
    </w:p>
    <w:p w:rsidR="008F085D" w:rsidRPr="008F085D" w:rsidRDefault="008F085D" w:rsidP="008F085D">
      <w:pPr>
        <w:pStyle w:val="1"/>
        <w:spacing w:before="72"/>
        <w:ind w:left="662"/>
        <w:jc w:val="left"/>
        <w:rPr>
          <w:rFonts w:ascii="Times New Roman" w:hAnsi="Times New Roman" w:cs="Times New Roman"/>
          <w:u w:val="none"/>
        </w:rPr>
      </w:pPr>
      <w:r w:rsidRPr="008F085D">
        <w:rPr>
          <w:rFonts w:ascii="Times New Roman" w:hAnsi="Times New Roman" w:cs="Times New Roman"/>
          <w:u w:val="none"/>
        </w:rPr>
        <w:t xml:space="preserve">Типовая форма </w:t>
      </w:r>
      <w:r>
        <w:rPr>
          <w:rFonts w:ascii="Times New Roman" w:hAnsi="Times New Roman" w:cs="Times New Roman"/>
          <w:u w:val="none"/>
          <w:lang w:val="ru-RU"/>
        </w:rPr>
        <w:t>с</w:t>
      </w:r>
      <w:r w:rsidRPr="008F085D">
        <w:rPr>
          <w:rFonts w:ascii="Times New Roman" w:hAnsi="Times New Roman" w:cs="Times New Roman"/>
          <w:u w:val="none"/>
        </w:rPr>
        <w:t>меты проекта</w:t>
      </w:r>
    </w:p>
    <w:p w:rsidR="008F085D" w:rsidRDefault="008F085D" w:rsidP="008F085D">
      <w:pPr>
        <w:pStyle w:val="a3"/>
        <w:spacing w:before="9"/>
        <w:rPr>
          <w:b/>
          <w:sz w:val="13"/>
        </w:rPr>
      </w:pPr>
    </w:p>
    <w:tbl>
      <w:tblPr>
        <w:tblStyle w:val="TableNormal"/>
        <w:tblW w:w="104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89"/>
        <w:gridCol w:w="708"/>
        <w:gridCol w:w="708"/>
        <w:gridCol w:w="711"/>
        <w:gridCol w:w="708"/>
        <w:gridCol w:w="708"/>
        <w:gridCol w:w="710"/>
        <w:gridCol w:w="709"/>
        <w:gridCol w:w="708"/>
        <w:gridCol w:w="708"/>
        <w:gridCol w:w="677"/>
      </w:tblGrid>
      <w:tr w:rsidR="008F085D" w:rsidRPr="00286B60" w:rsidTr="000D50A8">
        <w:trPr>
          <w:trHeight w:hRule="exact" w:val="454"/>
        </w:trPr>
        <w:tc>
          <w:tcPr>
            <w:tcW w:w="416" w:type="dxa"/>
            <w:vMerge w:val="restart"/>
            <w:shd w:val="clear" w:color="auto" w:fill="D9D9D9"/>
            <w:textDirection w:val="tbRl"/>
          </w:tcPr>
          <w:p w:rsidR="008F085D" w:rsidRDefault="008F085D" w:rsidP="005C5454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8F085D" w:rsidRDefault="008F085D" w:rsidP="005C5454">
            <w:pPr>
              <w:pStyle w:val="TableParagraph"/>
              <w:ind w:left="869"/>
              <w:rPr>
                <w:sz w:val="16"/>
              </w:rPr>
            </w:pPr>
            <w:r>
              <w:rPr>
                <w:sz w:val="16"/>
              </w:rPr>
              <w:t>№№ с</w:t>
            </w:r>
            <w:r>
              <w:rPr>
                <w:spacing w:val="-3"/>
                <w:sz w:val="16"/>
              </w:rPr>
              <w:t>т</w:t>
            </w:r>
            <w:r>
              <w:rPr>
                <w:sz w:val="16"/>
              </w:rPr>
              <w:t>ат</w:t>
            </w:r>
            <w:r>
              <w:rPr>
                <w:spacing w:val="-2"/>
                <w:sz w:val="16"/>
              </w:rPr>
              <w:t>ь</w:t>
            </w:r>
            <w:r>
              <w:rPr>
                <w:sz w:val="16"/>
              </w:rPr>
              <w:t>и 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д</w:t>
            </w:r>
            <w:r>
              <w:rPr>
                <w:spacing w:val="1"/>
                <w:sz w:val="16"/>
              </w:rPr>
              <w:t>с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>т</w:t>
            </w:r>
            <w:r>
              <w:rPr>
                <w:sz w:val="16"/>
              </w:rPr>
              <w:t>ьи</w:t>
            </w:r>
          </w:p>
        </w:tc>
        <w:tc>
          <w:tcPr>
            <w:tcW w:w="2989" w:type="dxa"/>
            <w:vMerge w:val="restart"/>
            <w:shd w:val="clear" w:color="auto" w:fill="D9D9D9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211" w:right="301" w:hanging="929"/>
              <w:rPr>
                <w:sz w:val="16"/>
              </w:rPr>
            </w:pPr>
            <w:r>
              <w:rPr>
                <w:sz w:val="16"/>
              </w:rPr>
              <w:t>Направления целевого использования средств:</w:t>
            </w:r>
          </w:p>
        </w:tc>
        <w:tc>
          <w:tcPr>
            <w:tcW w:w="7055" w:type="dxa"/>
            <w:gridSpan w:val="10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7"/>
              <w:ind w:left="2457" w:right="2736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В том числе по видам затрат:</w:t>
            </w:r>
          </w:p>
        </w:tc>
      </w:tr>
      <w:tr w:rsidR="008F085D" w:rsidTr="000D50A8">
        <w:trPr>
          <w:trHeight w:hRule="exact" w:val="1345"/>
        </w:trPr>
        <w:tc>
          <w:tcPr>
            <w:tcW w:w="416" w:type="dxa"/>
            <w:vMerge/>
            <w:shd w:val="clear" w:color="auto" w:fill="D9D9D9"/>
            <w:textDirection w:val="tbRl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  <w:vMerge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1416" w:type="dxa"/>
            <w:gridSpan w:val="2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96"/>
              <w:ind w:left="-3" w:right="-5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Зарплата</w:t>
            </w:r>
            <w:r w:rsidRPr="00D01914">
              <w:rPr>
                <w:spacing w:val="-6"/>
                <w:sz w:val="16"/>
                <w:lang w:val="ru-RU"/>
              </w:rPr>
              <w:t xml:space="preserve"> </w:t>
            </w:r>
            <w:r w:rsidRPr="00D01914">
              <w:rPr>
                <w:sz w:val="16"/>
                <w:lang w:val="ru-RU"/>
              </w:rPr>
              <w:t>сотрудников, вкл. налоги и взносы от</w:t>
            </w:r>
            <w:r w:rsidRPr="00D01914">
              <w:rPr>
                <w:spacing w:val="-2"/>
                <w:sz w:val="16"/>
                <w:lang w:val="ru-RU"/>
              </w:rPr>
              <w:t xml:space="preserve"> </w:t>
            </w:r>
            <w:r w:rsidRPr="00D01914">
              <w:rPr>
                <w:sz w:val="16"/>
                <w:lang w:val="ru-RU"/>
              </w:rPr>
              <w:t>ФОТ</w:t>
            </w:r>
          </w:p>
          <w:p w:rsidR="008F085D" w:rsidRPr="00D01914" w:rsidRDefault="008F085D" w:rsidP="005C5454">
            <w:pPr>
              <w:pStyle w:val="TableParagraph"/>
              <w:spacing w:before="4"/>
              <w:rPr>
                <w:rFonts w:ascii="Arial"/>
                <w:b/>
                <w:sz w:val="17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621" w:right="585"/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"/>
              <w:ind w:left="110" w:right="108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Работы и услуги, выполняемые третьими лицами, приобретение прав</w:t>
            </w:r>
          </w:p>
          <w:p w:rsidR="008F085D" w:rsidRPr="00D01914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109" w:right="108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spacing w:before="2" w:line="182" w:lineRule="exact"/>
              <w:ind w:left="216" w:right="213" w:hanging="5"/>
              <w:jc w:val="center"/>
              <w:rPr>
                <w:sz w:val="16"/>
              </w:rPr>
            </w:pPr>
            <w:r>
              <w:rPr>
                <w:sz w:val="16"/>
              </w:rPr>
              <w:t>Материалы и комплектующие</w:t>
            </w:r>
          </w:p>
          <w:p w:rsidR="008F085D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085D" w:rsidRDefault="008F085D" w:rsidP="005C5454">
            <w:pPr>
              <w:pStyle w:val="TableParagraph"/>
              <w:ind w:left="621" w:right="587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spacing w:before="2" w:line="182" w:lineRule="exact"/>
              <w:ind w:left="312" w:right="203"/>
              <w:jc w:val="center"/>
              <w:rPr>
                <w:sz w:val="16"/>
              </w:rPr>
            </w:pPr>
            <w:r>
              <w:rPr>
                <w:sz w:val="16"/>
              </w:rPr>
              <w:t>Приобретение оборудования</w:t>
            </w:r>
          </w:p>
          <w:p w:rsidR="008F085D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085D" w:rsidRDefault="008F085D" w:rsidP="005C5454">
            <w:pPr>
              <w:pStyle w:val="TableParagraph"/>
              <w:ind w:left="312" w:right="203"/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1385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05"/>
              <w:ind w:left="493" w:right="493"/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</w:tr>
      <w:tr w:rsidR="008F085D" w:rsidTr="000D50A8">
        <w:trPr>
          <w:trHeight w:hRule="exact" w:val="1159"/>
        </w:trPr>
        <w:tc>
          <w:tcPr>
            <w:tcW w:w="416" w:type="dxa"/>
            <w:vMerge/>
            <w:shd w:val="clear" w:color="auto" w:fill="D9D9D9"/>
            <w:textDirection w:val="tbRl"/>
          </w:tcPr>
          <w:p w:rsidR="008F085D" w:rsidRDefault="008F085D" w:rsidP="005C5454"/>
        </w:tc>
        <w:tc>
          <w:tcPr>
            <w:tcW w:w="2989" w:type="dxa"/>
            <w:vMerge/>
            <w:shd w:val="clear" w:color="auto" w:fill="D9D9D9"/>
          </w:tcPr>
          <w:p w:rsidR="008F085D" w:rsidRDefault="008F085D" w:rsidP="005C5454"/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r>
              <w:rPr>
                <w:sz w:val="16"/>
              </w:rPr>
              <w:t>средства займа</w:t>
            </w:r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r>
              <w:rPr>
                <w:sz w:val="16"/>
              </w:rPr>
              <w:t>средства софинан- сирования</w:t>
            </w:r>
          </w:p>
        </w:tc>
        <w:tc>
          <w:tcPr>
            <w:tcW w:w="711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5" w:right="53" w:hanging="94"/>
              <w:rPr>
                <w:sz w:val="16"/>
              </w:rPr>
            </w:pPr>
            <w:r>
              <w:rPr>
                <w:sz w:val="16"/>
              </w:rPr>
              <w:t>средства займа</w:t>
            </w:r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r>
              <w:rPr>
                <w:sz w:val="16"/>
              </w:rPr>
              <w:t>средства софинан- сирования</w:t>
            </w:r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r>
              <w:rPr>
                <w:sz w:val="16"/>
              </w:rPr>
              <w:t>средства займа</w:t>
            </w:r>
          </w:p>
        </w:tc>
        <w:tc>
          <w:tcPr>
            <w:tcW w:w="710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8" w:right="23" w:firstLine="43"/>
              <w:jc w:val="both"/>
              <w:rPr>
                <w:sz w:val="16"/>
              </w:rPr>
            </w:pPr>
            <w:r>
              <w:rPr>
                <w:sz w:val="16"/>
              </w:rPr>
              <w:t>средства софинан- сирования</w:t>
            </w:r>
          </w:p>
        </w:tc>
        <w:tc>
          <w:tcPr>
            <w:tcW w:w="709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r>
              <w:rPr>
                <w:sz w:val="16"/>
              </w:rPr>
              <w:t>средства займа</w:t>
            </w:r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r>
              <w:rPr>
                <w:sz w:val="16"/>
              </w:rPr>
              <w:t>средства софинан- сирования</w:t>
            </w:r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r>
              <w:rPr>
                <w:sz w:val="16"/>
              </w:rPr>
              <w:t>средства займа</w:t>
            </w:r>
          </w:p>
        </w:tc>
        <w:tc>
          <w:tcPr>
            <w:tcW w:w="677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12" w:right="6" w:firstLine="43"/>
              <w:jc w:val="both"/>
              <w:rPr>
                <w:sz w:val="16"/>
              </w:rPr>
            </w:pPr>
            <w:r>
              <w:rPr>
                <w:sz w:val="16"/>
              </w:rPr>
              <w:t>средства софинан- сирования</w:t>
            </w:r>
          </w:p>
        </w:tc>
      </w:tr>
      <w:tr w:rsidR="008F085D" w:rsidTr="00FA25CC">
        <w:trPr>
          <w:trHeight w:hRule="exact" w:val="69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7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7"/>
              <w:ind w:left="105" w:right="175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89" w:type="dxa"/>
          </w:tcPr>
          <w:p w:rsidR="008F085D" w:rsidRPr="001A31EE" w:rsidRDefault="008F085D" w:rsidP="005C5454">
            <w:pPr>
              <w:pStyle w:val="TableParagraph"/>
              <w:spacing w:before="56"/>
              <w:ind w:left="105" w:right="301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Разработка </w:t>
            </w:r>
            <w:r w:rsidR="001A31EE">
              <w:rPr>
                <w:sz w:val="16"/>
                <w:lang w:val="ru-RU"/>
              </w:rPr>
              <w:t>/трансфер технологии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6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821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</w:t>
            </w:r>
          </w:p>
        </w:tc>
        <w:tc>
          <w:tcPr>
            <w:tcW w:w="2989" w:type="dxa"/>
          </w:tcPr>
          <w:p w:rsidR="008F085D" w:rsidRPr="00D01914" w:rsidRDefault="00253D68" w:rsidP="005C5454">
            <w:pPr>
              <w:pStyle w:val="TableParagraph"/>
              <w:spacing w:before="56"/>
              <w:ind w:left="105" w:right="8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  <w:r w:rsidRPr="00253D68">
              <w:rPr>
                <w:sz w:val="16"/>
                <w:lang w:val="ru-RU"/>
              </w:rPr>
              <w:t>онтрольно-сертификационные мероприятия, необходимые для реализации проекта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FA25CC" w:rsidTr="000D50A8">
        <w:trPr>
          <w:trHeight w:hRule="exact" w:val="118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89" w:type="dxa"/>
          </w:tcPr>
          <w:p w:rsidR="008F085D" w:rsidRPr="00D01914" w:rsidRDefault="00253D68" w:rsidP="00FA25CC">
            <w:pPr>
              <w:pStyle w:val="TableParagraph"/>
              <w:spacing w:before="56"/>
              <w:ind w:left="105" w:right="5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</w:t>
            </w:r>
            <w:r w:rsidRPr="00253D68">
              <w:rPr>
                <w:sz w:val="16"/>
                <w:lang w:val="ru-RU"/>
              </w:rPr>
              <w:t>риобретение расходных материалов для проведения мероприятий по настоящему разделу, в том числе, сырья и ресурсов для испытания оборудования и технологии – в объеме до 20 % от суммы займа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1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spacing w:before="1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</w:tr>
      <w:tr w:rsidR="008F085D" w:rsidRPr="00286B60" w:rsidTr="000D50A8">
        <w:trPr>
          <w:trHeight w:hRule="exact" w:val="1189"/>
        </w:trPr>
        <w:tc>
          <w:tcPr>
            <w:tcW w:w="416" w:type="dxa"/>
          </w:tcPr>
          <w:p w:rsidR="008F085D" w:rsidRPr="00FA25CC" w:rsidRDefault="008F085D" w:rsidP="005C5454">
            <w:pPr>
              <w:pStyle w:val="TableParagraph"/>
              <w:spacing w:before="56"/>
              <w:ind w:left="103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3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  <w:r w:rsidR="00E07DC5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E07DC5">
        <w:trPr>
          <w:trHeight w:hRule="exact" w:val="1645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105" w:right="1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 xml:space="preserve">Разработка технико-экономического обоснования инвестиционной стадии проекта, прединвестиционный анализ и оптимизация проекта, </w:t>
            </w:r>
            <w:r>
              <w:rPr>
                <w:sz w:val="16"/>
                <w:lang w:val="ru-RU"/>
              </w:rPr>
              <w:t>не вкл</w:t>
            </w:r>
            <w:r w:rsidRPr="00D01914">
              <w:rPr>
                <w:sz w:val="16"/>
                <w:lang w:val="ru-RU"/>
              </w:rPr>
              <w:t xml:space="preserve">ючая </w:t>
            </w:r>
            <w:r>
              <w:rPr>
                <w:sz w:val="16"/>
                <w:lang w:val="ru-RU"/>
              </w:rPr>
              <w:t xml:space="preserve">расходы на </w:t>
            </w:r>
            <w:r w:rsidRPr="00D01914">
              <w:rPr>
                <w:sz w:val="16"/>
                <w:lang w:val="ru-RU"/>
              </w:rPr>
              <w:t>аналитические исследования рынка</w:t>
            </w:r>
            <w:r w:rsidR="00E07DC5" w:rsidRPr="00CE7362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6"/>
              <w:rPr>
                <w:rFonts w:ascii="Arial"/>
                <w:b/>
                <w:sz w:val="19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1A31EE">
        <w:trPr>
          <w:trHeight w:hRule="exact" w:val="318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89" w:type="dxa"/>
          </w:tcPr>
          <w:p w:rsidR="00253D68" w:rsidRPr="00253D68" w:rsidRDefault="008F085D" w:rsidP="001A31EE">
            <w:pPr>
              <w:pStyle w:val="TableParagraph"/>
              <w:spacing w:before="59"/>
              <w:ind w:left="105" w:right="156"/>
              <w:jc w:val="both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прав на результаты интеллектуальной деятельности</w:t>
            </w:r>
            <w:r>
              <w:rPr>
                <w:sz w:val="16"/>
                <w:lang w:val="ru-RU"/>
              </w:rPr>
              <w:t xml:space="preserve"> (лицензий и патентов)</w:t>
            </w:r>
            <w:r w:rsidRPr="00D01914">
              <w:rPr>
                <w:sz w:val="16"/>
                <w:lang w:val="ru-RU"/>
              </w:rPr>
              <w:t xml:space="preserve"> у </w:t>
            </w:r>
            <w:r>
              <w:rPr>
                <w:sz w:val="16"/>
                <w:lang w:val="ru-RU"/>
              </w:rPr>
              <w:t xml:space="preserve"> российских и иностранных </w:t>
            </w:r>
            <w:r w:rsidRPr="00D01914">
              <w:rPr>
                <w:sz w:val="16"/>
                <w:lang w:val="ru-RU"/>
              </w:rPr>
              <w:t>правообладателей</w:t>
            </w:r>
            <w:r w:rsidR="00253D68" w:rsidRPr="00253D68">
              <w:rPr>
                <w:lang w:val="ru-RU"/>
              </w:rPr>
              <w:t xml:space="preserve"> </w:t>
            </w:r>
            <w:r w:rsidR="00253D68" w:rsidRPr="00253D68">
              <w:rPr>
                <w:sz w:val="16"/>
                <w:lang w:val="ru-RU"/>
              </w:rPr>
              <w:t>Приобретение специализированного программного обеспечения и обучение работы с данным программным обеспечением по направлениям:</w:t>
            </w:r>
          </w:p>
          <w:p w:rsidR="00253D68" w:rsidRPr="00253D68" w:rsidRDefault="00253D68" w:rsidP="001A31EE">
            <w:pPr>
              <w:pStyle w:val="TableParagraph"/>
              <w:spacing w:before="59"/>
              <w:ind w:left="105" w:right="156"/>
              <w:jc w:val="both"/>
              <w:rPr>
                <w:sz w:val="16"/>
                <w:lang w:val="ru-RU"/>
              </w:rPr>
            </w:pPr>
            <w:r w:rsidRPr="00253D68">
              <w:rPr>
                <w:sz w:val="16"/>
                <w:lang w:val="ru-RU"/>
              </w:rPr>
              <w:t>•</w:t>
            </w:r>
            <w:r w:rsidRPr="00253D68">
              <w:rPr>
                <w:sz w:val="16"/>
                <w:lang w:val="ru-RU"/>
              </w:rPr>
              <w:tab/>
              <w:t>информационные системы управления предприятием;</w:t>
            </w:r>
          </w:p>
          <w:p w:rsidR="00253D68" w:rsidRPr="00253D68" w:rsidRDefault="00253D68" w:rsidP="001A31EE">
            <w:pPr>
              <w:pStyle w:val="TableParagraph"/>
              <w:spacing w:before="59"/>
              <w:ind w:left="105" w:right="156"/>
              <w:jc w:val="both"/>
              <w:rPr>
                <w:sz w:val="16"/>
                <w:lang w:val="ru-RU"/>
              </w:rPr>
            </w:pPr>
            <w:r w:rsidRPr="00253D68">
              <w:rPr>
                <w:sz w:val="16"/>
                <w:lang w:val="ru-RU"/>
              </w:rPr>
              <w:t>•</w:t>
            </w:r>
            <w:r w:rsidRPr="00253D68">
              <w:rPr>
                <w:sz w:val="16"/>
                <w:lang w:val="ru-RU"/>
              </w:rPr>
              <w:tab/>
              <w:t>системы цифрового моделирования и проектирования;</w:t>
            </w:r>
          </w:p>
          <w:p w:rsidR="00253D68" w:rsidRPr="00253D68" w:rsidRDefault="00253D68" w:rsidP="001A31EE">
            <w:pPr>
              <w:pStyle w:val="TableParagraph"/>
              <w:spacing w:before="59"/>
              <w:ind w:left="105" w:right="156"/>
              <w:jc w:val="both"/>
              <w:rPr>
                <w:sz w:val="16"/>
                <w:lang w:val="ru-RU"/>
              </w:rPr>
            </w:pPr>
            <w:r w:rsidRPr="00253D68">
              <w:rPr>
                <w:sz w:val="16"/>
                <w:lang w:val="ru-RU"/>
              </w:rPr>
              <w:t>•</w:t>
            </w:r>
            <w:r w:rsidRPr="00253D68">
              <w:rPr>
                <w:sz w:val="16"/>
                <w:lang w:val="ru-RU"/>
              </w:rPr>
              <w:tab/>
              <w:t>системы производственной логистики и маркетинга.</w:t>
            </w:r>
          </w:p>
          <w:p w:rsidR="008F085D" w:rsidRDefault="00253D68" w:rsidP="001A31EE">
            <w:pPr>
              <w:pStyle w:val="TableParagraph"/>
              <w:spacing w:before="59"/>
              <w:ind w:left="105" w:right="156"/>
              <w:jc w:val="both"/>
              <w:rPr>
                <w:sz w:val="16"/>
                <w:lang w:val="ru-RU"/>
              </w:rPr>
            </w:pPr>
            <w:r w:rsidRPr="00253D68">
              <w:rPr>
                <w:sz w:val="16"/>
                <w:lang w:val="ru-RU"/>
              </w:rPr>
              <w:t>– в объеме не более 15 % от суммы займа</w:t>
            </w:r>
          </w:p>
          <w:p w:rsidR="000D50A8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  <w:p w:rsidR="000D50A8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  <w:p w:rsidR="000D50A8" w:rsidRPr="00D01914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301"/>
              <w:rPr>
                <w:sz w:val="16"/>
              </w:rPr>
            </w:pPr>
            <w:r>
              <w:rPr>
                <w:sz w:val="16"/>
              </w:rPr>
              <w:t>Инжиниринговые услуги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1191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989" w:type="dxa"/>
          </w:tcPr>
          <w:p w:rsidR="008F085D" w:rsidRPr="00D01914" w:rsidRDefault="0072768E" w:rsidP="005C5454">
            <w:pPr>
              <w:pStyle w:val="TableParagraph"/>
              <w:spacing w:before="59"/>
              <w:ind w:left="105" w:right="96"/>
              <w:rPr>
                <w:sz w:val="16"/>
                <w:lang w:val="ru-RU"/>
              </w:rPr>
            </w:pPr>
            <w:r w:rsidRPr="0072768E">
              <w:rPr>
                <w:sz w:val="16"/>
                <w:lang w:val="ru-RU"/>
              </w:rPr>
      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4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72768E">
        <w:trPr>
          <w:trHeight w:hRule="exact" w:val="1759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989" w:type="dxa"/>
          </w:tcPr>
          <w:p w:rsidR="008F085D" w:rsidRPr="00D01914" w:rsidRDefault="0072768E" w:rsidP="008F085D">
            <w:pPr>
              <w:pStyle w:val="TableParagraph"/>
              <w:spacing w:before="59"/>
              <w:ind w:left="105" w:right="40"/>
              <w:rPr>
                <w:sz w:val="16"/>
                <w:lang w:val="ru-RU"/>
              </w:rPr>
            </w:pPr>
            <w:r w:rsidRPr="0072768E">
              <w:rPr>
                <w:sz w:val="16"/>
                <w:lang w:val="ru-RU"/>
              </w:rPr>
      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 и др.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427"/>
              <w:rPr>
                <w:sz w:val="16"/>
              </w:rPr>
            </w:pPr>
            <w:r>
              <w:rPr>
                <w:sz w:val="16"/>
              </w:rPr>
              <w:t>Государственная экспертиза проектной документации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7"/>
        </w:trPr>
        <w:tc>
          <w:tcPr>
            <w:tcW w:w="416" w:type="dxa"/>
          </w:tcPr>
          <w:p w:rsidR="008F085D" w:rsidRPr="00F96C5B" w:rsidRDefault="008F085D" w:rsidP="005C5454">
            <w:pPr>
              <w:pStyle w:val="TableParagraph"/>
              <w:spacing w:before="57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8</w:t>
            </w:r>
            <w:r w:rsidR="00F96C5B">
              <w:rPr>
                <w:sz w:val="16"/>
                <w:lang w:val="ru-RU"/>
              </w:rPr>
              <w:t>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7"/>
              <w:ind w:left="105" w:right="44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RPr="00286B60" w:rsidTr="000D50A8">
        <w:trPr>
          <w:trHeight w:hRule="exact" w:val="1006"/>
        </w:trPr>
        <w:tc>
          <w:tcPr>
            <w:tcW w:w="416" w:type="dxa"/>
          </w:tcPr>
          <w:p w:rsidR="008F085D" w:rsidRPr="00F96C5B" w:rsidRDefault="008F085D" w:rsidP="005C5454">
            <w:pPr>
              <w:pStyle w:val="TableParagraph"/>
              <w:spacing w:before="59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9</w:t>
            </w:r>
            <w:r w:rsidR="00F96C5B">
              <w:rPr>
                <w:sz w:val="16"/>
                <w:lang w:val="ru-RU"/>
              </w:rPr>
              <w:t>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8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54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2989" w:type="dxa"/>
          </w:tcPr>
          <w:p w:rsidR="008F085D" w:rsidRPr="000D50A8" w:rsidRDefault="008F085D" w:rsidP="005C5454">
            <w:pPr>
              <w:pStyle w:val="TableParagraph"/>
              <w:spacing w:before="56"/>
              <w:ind w:left="105" w:right="10"/>
              <w:rPr>
                <w:rFonts w:cs="Times New Roman"/>
                <w:sz w:val="16"/>
                <w:szCs w:val="16"/>
              </w:rPr>
            </w:pPr>
            <w:r w:rsidRPr="000D50A8">
              <w:rPr>
                <w:rFonts w:cs="Times New Roman"/>
                <w:sz w:val="16"/>
                <w:szCs w:val="16"/>
              </w:rPr>
              <w:t>Произведенного на территории РФ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286B60" w:rsidTr="000D50A8">
        <w:trPr>
          <w:trHeight w:hRule="exact" w:val="66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lastRenderedPageBreak/>
              <w:t>9.2.</w:t>
            </w:r>
          </w:p>
        </w:tc>
        <w:tc>
          <w:tcPr>
            <w:tcW w:w="2989" w:type="dxa"/>
          </w:tcPr>
          <w:p w:rsidR="008F085D" w:rsidRPr="000D50A8" w:rsidRDefault="008F085D" w:rsidP="005C5454">
            <w:pPr>
              <w:pStyle w:val="TableParagraph"/>
              <w:spacing w:before="56"/>
              <w:ind w:left="105" w:right="301"/>
              <w:rPr>
                <w:rFonts w:cs="Times New Roman"/>
                <w:sz w:val="16"/>
                <w:szCs w:val="16"/>
                <w:lang w:val="ru-RU"/>
              </w:rPr>
            </w:pPr>
            <w:r w:rsidRPr="000D50A8">
              <w:rPr>
                <w:rFonts w:cs="Times New Roman"/>
                <w:sz w:val="16"/>
                <w:szCs w:val="16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Pr="00F96C5B" w:rsidRDefault="008F085D" w:rsidP="00F96C5B">
            <w:pPr>
              <w:pStyle w:val="TableParagraph"/>
              <w:spacing w:before="59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F96C5B">
              <w:rPr>
                <w:sz w:val="16"/>
                <w:lang w:val="ru-RU"/>
              </w:rPr>
              <w:t>0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297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821"/>
        </w:trPr>
        <w:tc>
          <w:tcPr>
            <w:tcW w:w="416" w:type="dxa"/>
          </w:tcPr>
          <w:p w:rsidR="008F085D" w:rsidRPr="00F96C5B" w:rsidRDefault="008F085D" w:rsidP="00F96C5B">
            <w:pPr>
              <w:pStyle w:val="TableParagraph"/>
              <w:spacing w:before="56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F96C5B">
              <w:rPr>
                <w:sz w:val="16"/>
                <w:lang w:val="ru-RU"/>
              </w:rPr>
              <w:t>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273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6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301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286B60" w:rsidTr="000D50A8">
        <w:trPr>
          <w:trHeight w:hRule="exact" w:val="454"/>
        </w:trPr>
        <w:tc>
          <w:tcPr>
            <w:tcW w:w="416" w:type="dxa"/>
            <w:shd w:val="clear" w:color="auto" w:fill="D9D9D9"/>
          </w:tcPr>
          <w:p w:rsidR="008F085D" w:rsidRDefault="008F085D" w:rsidP="005C5454"/>
        </w:tc>
        <w:tc>
          <w:tcPr>
            <w:tcW w:w="2989" w:type="dxa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6"/>
              <w:ind w:left="105" w:right="301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В том числе распределение по годам:</w:t>
            </w: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 w:rsidR="00253D68">
              <w:rPr>
                <w:sz w:val="16"/>
                <w:lang w:val="ru-RU"/>
              </w:rPr>
              <w:t>7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27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 w:rsidR="00253D68">
              <w:rPr>
                <w:sz w:val="16"/>
                <w:lang w:val="ru-RU"/>
              </w:rPr>
              <w:t>8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27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465" w:right="268" w:hanging="36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201</w:t>
            </w:r>
            <w:r w:rsidR="00253D68">
              <w:rPr>
                <w:sz w:val="16"/>
                <w:lang w:val="ru-RU"/>
              </w:rPr>
              <w:t>9</w:t>
            </w:r>
            <w:r w:rsidRPr="00D01914">
              <w:rPr>
                <w:sz w:val="16"/>
                <w:lang w:val="ru-RU"/>
              </w:rPr>
              <w:t xml:space="preserve"> г. (уже понесенные до выдачи займа расходы)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RPr="00687D60" w:rsidTr="000D50A8">
        <w:trPr>
          <w:trHeight w:hRule="exact" w:val="636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465" w:right="40" w:hanging="36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201</w:t>
            </w:r>
            <w:r w:rsidR="00253D68">
              <w:rPr>
                <w:sz w:val="16"/>
                <w:lang w:val="ru-RU"/>
              </w:rPr>
              <w:t>9</w:t>
            </w:r>
            <w:r w:rsidRPr="00D01914">
              <w:rPr>
                <w:sz w:val="16"/>
                <w:lang w:val="ru-RU"/>
              </w:rPr>
              <w:t xml:space="preserve"> г. (планируемые после получения займа расходы)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</w:t>
            </w:r>
            <w:r w:rsidR="00253D68">
              <w:rPr>
                <w:sz w:val="16"/>
                <w:lang w:val="ru-RU"/>
              </w:rPr>
              <w:t>20</w:t>
            </w:r>
            <w:r>
              <w:rPr>
                <w:sz w:val="16"/>
              </w:rPr>
              <w:t>г.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</w:t>
            </w:r>
            <w:r w:rsidR="00253D68">
              <w:rPr>
                <w:sz w:val="16"/>
                <w:lang w:val="ru-RU"/>
              </w:rPr>
              <w:t>21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</w:tbl>
    <w:p w:rsidR="008F085D" w:rsidRPr="008F085D" w:rsidRDefault="008F085D" w:rsidP="008F085D">
      <w:pPr>
        <w:pStyle w:val="a3"/>
        <w:rPr>
          <w:sz w:val="20"/>
          <w:lang w:val="ru-RU"/>
        </w:rPr>
      </w:pPr>
    </w:p>
    <w:p w:rsidR="00E0590E" w:rsidRPr="00D01914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D102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средств займа в Смете по Видам затрат (по вертикали в Смете).</w:t>
      </w:r>
    </w:p>
    <w:p w:rsidR="00D01914" w:rsidRPr="00D01914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Распределение средств займа по видам затрат определяется Заявителем самостоятельно, исходя из планов выполнения работ в проекте: собственными силами, с привлечением сторонних подрядчиков, с приобретением материалов и оборудования или без такового.</w:t>
      </w:r>
    </w:p>
    <w:p w:rsidR="006872E7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Возможность получения заявителями целевого займа для реализации проекта по программ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Фонда налагает на будущих заемщиков обязательства по целевому и эффективному расходованию средств.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872E7" w:rsidRPr="006872E7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(или по запросу Фонда)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(а после заключения договора займа – заемщик) должен подтвердить рыночное ценообразование при осуществлении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закупок товаров, работ (услуг).</w:t>
      </w:r>
    </w:p>
    <w:p w:rsidR="00D01914" w:rsidRPr="00D01914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заключении договоров на поставку товаров, работ (услуг) Фонд вправе запросить документальное обоснование выбора поставщика/исполнителя путем представления  либо детализированного отчета по исследованию рынка (проведенного с помощью сбора и анализа открытых данных, с указанием ссылок на каждую позицию закупки) или формирования запроса коммерческих предложений с предоставлением не менее 3 предложений от поставщиков товаров, работ (услуг). В договорах на оказание работ (услуг), заключаемых заемщиком, должны присутствовать, в т.ч., гарантийные обязательства по качеству работ (услуг), выполненных исполнителем.</w:t>
      </w:r>
    </w:p>
    <w:p w:rsidR="006872E7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 остальных случаях Фонд также сохраняет за собой право проверить ценообразование и иные существенные условия з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аключенных Заемщиком договоров.</w:t>
      </w:r>
    </w:p>
    <w:p w:rsidR="006872E7" w:rsidRPr="00D01914" w:rsidRDefault="006872E7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687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Вид расхода: Заработная плата сотрудников, включая налоги и взносы от ФОТ (1).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 случае, если выполнение какого-либо направления работ в проекте планируется Заявителем с использованием собственного персонала, в Смете (столбец 1) полежат указанию п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анируем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ые расходы по заработной плате.</w:t>
      </w:r>
    </w:p>
    <w:p w:rsidR="00D01914" w:rsidRPr="00D01914" w:rsidRDefault="00D01914" w:rsidP="00FA25C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Расходы по заработной плате могут быть оплачены за счет средств займа в отношении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сотрудников заявителя, деятельность которых напрямую связана с проектом.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займа могут быть направлены на выплату собственно заработной платы, налогов, взносов от ФОТ, предусмотренные компенсационные выплаты (доплаты и надбавки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компенсационного характера, в том числе за работу в условиях, отклоняющихся от нормальных, работу в особых климатических условиях и на территориях,  подвергшихся радиоактивному загрязнению, и иные выплаты компенсационного характера), стимулирующие выплаты (доплаты и надбавки стимулирующего характера, премии и иные поощрительные выплаты), оплату отпускных и больничных.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Расходы по выплате заработной платы на этапе акцепта платежей по договору целевого займа подлежат подтверждению путем предоставления Фонду приказа о формировании рабочей (проектной) группы или иного документа, определяющего состав сотрудников Заемщика, работающих в проекте или этапе проекта.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72E7" w:rsidRDefault="00D01914" w:rsidP="00D0191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Вид расхода: Работы и услуги, выполняемые третьими лицами, приобретение прав (2)</w:t>
      </w:r>
      <w:r w:rsidR="006872E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статье Заявитель указывает расходы, планируемые:</w:t>
      </w:r>
    </w:p>
    <w:p w:rsidR="00D01914" w:rsidRPr="00D01914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для оплаты по договорам подряда, выполнения работ и оказания услуг третьими лицами для заявителя в интересах проекта, расходов по гражданско-правовым договорам (в том числе с физическими лицами),</w:t>
      </w:r>
    </w:p>
    <w:p w:rsidR="00D01914" w:rsidRPr="00D01914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для оплаты за приобретаемые для целей проекта права, включая права пользования программным обеспечением, лицензии, патенты.</w:t>
      </w:r>
    </w:p>
    <w:p w:rsidR="006872E7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Фонд не рекомендует планировать за счет средств займа платежи в адрес третьих лиц, в отношении которых Заявитель не сможет подтверди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ть профессиональные компетенции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и положительный опыт реализации аналогичных проектов, платежи в адрес компаний, не имеющих подтвержденных полномочий на выполнение данного вида работ (отсутствие разрешений, лицензий, ограничения членства в СРО или иные препятствия), экономически необоснованные в части определения цены работ или услуг, стоимости приобретаемых прав.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6872E7" w:rsidP="00D0191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расхода: </w:t>
      </w:r>
      <w:r w:rsidR="00D01914" w:rsidRPr="006872E7">
        <w:rPr>
          <w:rFonts w:ascii="Times New Roman" w:hAnsi="Times New Roman" w:cs="Times New Roman"/>
          <w:b/>
          <w:sz w:val="24"/>
          <w:szCs w:val="24"/>
          <w:lang w:val="ru-RU"/>
        </w:rPr>
        <w:t>Материалы и комплектующие (3)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Этот вид затрат возможен в проекте, если Заявитель планирует приобретение материалов и комплектующих для самостоятельного выполнения работ или для их передачи подрядчику (третьему лицу) для выполнения работ по проекту. Приобретаемые материалы и комплектующие не должны быть использованы Заявителем для целей капитального строительства, использования в качестве сырья для промышленного выпуска продукта проекта, а также в иных целях, финансирование которых из средств займа не предусмотрено.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Для обоснования расходов, направленных на приобретение узкоспециализированных групп материалов и комплектующих, в том числе специального обращения, в иных подобных случаях, Фонд рекомендует Заявителям планировать из средств займа расходы в адрес компаний, чьи профессиональные компетенции могут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быть документально подтверждены.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Default="00D01914" w:rsidP="00A243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Распределение   средств   займа  по   </w:t>
      </w:r>
      <w:r w:rsidR="00D1020C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аправлениям  целевого   использования  </w:t>
      </w:r>
      <w:r w:rsidR="00F9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</w:t>
      </w: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>(по</w:t>
      </w:r>
      <w:r w:rsid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горизонтальным строкам Сметы).</w:t>
      </w:r>
    </w:p>
    <w:p w:rsidR="00F96C5B" w:rsidRDefault="00F96C5B" w:rsidP="00A243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6C5B" w:rsidRPr="00F96C5B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Строка 1 Сметы.</w:t>
      </w:r>
      <w:r w:rsidRPr="00F9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6C5B">
        <w:rPr>
          <w:rFonts w:ascii="Times New Roman" w:hAnsi="Times New Roman" w:cs="Times New Roman"/>
          <w:sz w:val="24"/>
          <w:szCs w:val="24"/>
          <w:lang w:val="ru-RU"/>
        </w:rPr>
        <w:t>«Научные и иные исследования в интересах проекта, включая аналитические исследования рынка».</w:t>
      </w:r>
    </w:p>
    <w:p w:rsidR="00A24370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Фонд не финансирует расходы, направленные в проекте на научные и иные исследования, включая аналитические исследования рынка. Расходы, которые предполагает Заявитель по этому направлению, должны быть полностью оплачены за счет средств софинансирования.</w:t>
      </w:r>
    </w:p>
    <w:p w:rsidR="00F96C5B" w:rsidRPr="00F96C5B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Строка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Сметы. «Разработка </w:t>
      </w:r>
      <w:r w:rsidR="001A31EE">
        <w:rPr>
          <w:rFonts w:ascii="Times New Roman" w:hAnsi="Times New Roman" w:cs="Times New Roman"/>
          <w:sz w:val="24"/>
          <w:szCs w:val="24"/>
          <w:lang w:val="ru-RU"/>
        </w:rPr>
        <w:t>/трансфер технологии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01914" w:rsidRPr="00D01914" w:rsidRDefault="00A24370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В рамках данной статьи предусмотрено выполнение нескольких видов работ по проекту, в частности: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Проведение опытно-технологических работ (ОТР) и опытно-конструкторских работ (ОКР)»</w:t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онтрольно-сертификационные мероприятия, необходимые для реализации проекта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риобретение расходных материалов для проведения мероприятий по настоящему разделу, в том числе, сырья и ресурсов для испытания оборудования и технологии – в объеме до 20 % от суммы займа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Разработка/</w:t>
      </w:r>
      <w:r w:rsidR="001A31EE">
        <w:rPr>
          <w:rFonts w:ascii="Times New Roman" w:hAnsi="Times New Roman" w:cs="Times New Roman"/>
          <w:sz w:val="24"/>
          <w:szCs w:val="24"/>
          <w:lang w:val="ru-RU"/>
        </w:rPr>
        <w:t xml:space="preserve"> трансфер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технологии допускает распределение средств займа для выплаты заработной платы, оплаты работ и услуг третьих лиц, приобретения прав, приобретения материалов и комплектующих.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К выполнению работ возможно привлечение третьих лиц, однако, с учетом специфики данного направления расходования средств, компетенции подрядчиков и исполнителей должны быть очевидны (сертифицирующие органы, проектные и исследовательские институты, инжиниринговые компании с опытом работы, т.п.).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Строка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 «Приобретение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установок».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Данное направление целевого использования не предполагает приобретения технологического оборудования, которое впоследствии будет использовано заявителем для производства промышленных партий продукта проекта.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Приобретаемое оборудование должно носить специальный характер, основные задачи его использования должны быть связаны с исследовательскими и опытными работами в проекте.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Средства займа по данному направлению могут быть использованы как собственно на приобретение оборудования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так и на оплату иных видов работ: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оплату труда персонала заявителя: для проведения тендеров по выбору поставщиков оборудования, для оплаты труда собственной монтажной бригады и т.п.,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оплату работ и услуг третьих лиц и приобретение прав: оплата подрядчикам для монтажа оборудования, пуска в эксплуатацию, оплата специального программного обеспечения и иных сопутствующих запуску оборудования расходов (исключая затраты, связанные с капитальным строительством);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материалов и комплектующих для монтажа, тестовых испытаний, ввода в эксплуатацию, включая сырье в объеме, необходимом для проведения испытаний данного оборудования (порядок испытаний перед вводом в эксплуатацию, как правило, определяется контрактом на поставку оборудования).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«Разработка технико-экономического обоснования инвестиционной стадии проекта, прединвестиционный анализ и оптимизация проекта,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не включа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аналитические исследования рынка».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 статье могут быть предусмотрены расходы: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 на оплату труда сотрудников Заявителя, связанных с разработкой ТЭО проекта, маркетинговых и аналитических рабочих групп Заявителя, чья деятельность связана с проектом и по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лучением конкретного результата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A24370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на оплату работ и услуг, выполняемых третьим лицами (аналитики, консалтинг, прочее),</w:t>
      </w:r>
    </w:p>
    <w:p w:rsidR="00D01914" w:rsidRDefault="00A24370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на приобретение материалов.</w:t>
      </w:r>
    </w:p>
    <w:p w:rsidR="00F96C5B" w:rsidRPr="00D01914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D68" w:rsidRPr="00253D68" w:rsidRDefault="00D01914" w:rsidP="00253D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«Приобретение прав на результаты интеллектуальной деятельности </w:t>
      </w:r>
      <w:r w:rsidR="005E2BF5">
        <w:rPr>
          <w:rFonts w:ascii="Times New Roman" w:hAnsi="Times New Roman" w:cs="Times New Roman"/>
          <w:sz w:val="24"/>
          <w:szCs w:val="24"/>
          <w:lang w:val="ru-RU"/>
        </w:rPr>
        <w:t xml:space="preserve">(лицензий и патентов)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российских или иностранных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правообладателей</w:t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Приобретение специализированного программного обеспечения и обучение работы с данным программным обеспечением по направлениям:</w:t>
      </w:r>
    </w:p>
    <w:p w:rsidR="00253D68" w:rsidRPr="00253D68" w:rsidRDefault="00253D68" w:rsidP="00253D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D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53D68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информационные системы управления предприятием;</w:t>
      </w:r>
    </w:p>
    <w:p w:rsidR="00253D68" w:rsidRPr="00253D68" w:rsidRDefault="00253D68" w:rsidP="00253D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D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53D68">
        <w:rPr>
          <w:rFonts w:ascii="Times New Roman" w:hAnsi="Times New Roman" w:cs="Times New Roman"/>
          <w:sz w:val="24"/>
          <w:szCs w:val="24"/>
          <w:lang w:val="ru-RU"/>
        </w:rPr>
        <w:tab/>
        <w:t>системы цифрового моделирования и проектирования;</w:t>
      </w:r>
    </w:p>
    <w:p w:rsidR="00253D68" w:rsidRPr="00253D68" w:rsidRDefault="00253D68" w:rsidP="00253D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D6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53D68">
        <w:rPr>
          <w:rFonts w:ascii="Times New Roman" w:hAnsi="Times New Roman" w:cs="Times New Roman"/>
          <w:sz w:val="24"/>
          <w:szCs w:val="24"/>
          <w:lang w:val="ru-RU"/>
        </w:rPr>
        <w:tab/>
        <w:t>системы производственной логистики и маркетинга.</w:t>
      </w:r>
    </w:p>
    <w:p w:rsidR="00253D68" w:rsidRPr="00D01914" w:rsidRDefault="00253D68" w:rsidP="00253D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3D68">
        <w:rPr>
          <w:rFonts w:ascii="Times New Roman" w:hAnsi="Times New Roman" w:cs="Times New Roman"/>
          <w:sz w:val="24"/>
          <w:szCs w:val="24"/>
          <w:lang w:val="ru-RU"/>
        </w:rPr>
        <w:t>– в объеме не более 15 % от суммы займа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счет средств займа предусмотрено приобретение патентов, лицензий, прав на использование специального программного обеспечения, прав на изобретения, полезные модели, селекционные достижения, секреты производства (ноу-хау), товарные знаки и знаки обслуживания.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Перечень возможных объектов нематериальных активов не ограничен перечисленными примерами и является открытым, то есть может включать в себя другие их виды.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Стоимость приобретения должна быть экономически целесообразной и обоснованной, а продавец нематериального актива иметь квалификацию и референции в соответствующей области, подтвержденные права на результаты интеллектуальной деятельности.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Приобретаемый актив должен быть напрямую связан с п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>роектом, его целями и задачами.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 Инжиниринговые услуги</w:t>
      </w:r>
    </w:p>
    <w:p w:rsid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предусматривает возможность расходов за счет средств займа по нескольким направлениям целевого использования:</w:t>
      </w:r>
    </w:p>
    <w:p w:rsidR="00547E7D" w:rsidRPr="00547E7D" w:rsidRDefault="00547E7D" w:rsidP="007276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 О</w:t>
      </w:r>
      <w:r w:rsidRPr="00547E7D">
        <w:rPr>
          <w:rFonts w:ascii="Times New Roman" w:hAnsi="Times New Roman" w:cs="Times New Roman"/>
          <w:sz w:val="24"/>
          <w:szCs w:val="24"/>
          <w:lang w:val="ru-RU"/>
        </w:rPr>
        <w:t>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547E7D" w:rsidRPr="00D01914" w:rsidRDefault="00547E7D" w:rsidP="0072768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72768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47E7D">
        <w:rPr>
          <w:rFonts w:ascii="Times New Roman" w:hAnsi="Times New Roman" w:cs="Times New Roman"/>
          <w:sz w:val="24"/>
          <w:szCs w:val="24"/>
          <w:lang w:val="ru-RU"/>
        </w:rPr>
        <w:t>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 и др. служб, подготовку и получение разрешения на осуществление градостроительной деятельности</w:t>
      </w:r>
      <w:r w:rsidR="00727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DC5" w:rsidRPr="00D01914" w:rsidRDefault="00E07DC5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 каждому из перечисленных направлений целевого использования могут быть предусмотрены расходы: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оплату труда сотрудников Заявителя;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оплату работ и услуг, выполняемых тр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етьим лицами, приобретение прав;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приобретение материалов.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мероприятий по адаптации технологического оборудования или инженерных коммуникаций собственными силами заявитель вправе запланировать расходы на оплату персонала и, если это требуется по проекту, на приобретение материалов и комплектующих, используемых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для инжиниринговой деятельности.</w:t>
      </w:r>
    </w:p>
    <w:p w:rsid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привлечении подрядчиков для разработки проектной документации для объектов капитального строительства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стоимость их работ также может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быть оплачена из средств займа.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й опыт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96C5B" w:rsidRPr="00F96C5B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C5B" w:rsidRPr="00F96C5B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 Статья 7. Государственная экспертиза проектной документации.</w:t>
      </w:r>
    </w:p>
    <w:p w:rsidR="00F96C5B" w:rsidRPr="00F96C5B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 Статья 8. Разработка рабочей документации для объектов капитального строительства.</w:t>
      </w:r>
    </w:p>
    <w:p w:rsidR="00F96C5B" w:rsidRPr="00D01914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Смета проекта не предусматривает возможности финансирования расходов по ст. ст. 7  и</w:t>
      </w:r>
      <w:r w:rsidR="00F54A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5B">
        <w:rPr>
          <w:rFonts w:ascii="Times New Roman" w:hAnsi="Times New Roman" w:cs="Times New Roman"/>
          <w:sz w:val="24"/>
          <w:szCs w:val="24"/>
          <w:lang w:val="ru-RU"/>
        </w:rPr>
        <w:t>8 из средств займа. Указанные направления работ в проекте могут быть п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 xml:space="preserve">рофинансированы за </w:t>
      </w:r>
      <w:r w:rsidR="00F54A22">
        <w:rPr>
          <w:rFonts w:ascii="Times New Roman" w:hAnsi="Times New Roman" w:cs="Times New Roman"/>
          <w:sz w:val="24"/>
          <w:szCs w:val="24"/>
          <w:lang w:val="ru-RU"/>
        </w:rPr>
        <w:t xml:space="preserve">счет средств 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заемщика.</w:t>
      </w:r>
    </w:p>
    <w:p w:rsidR="00D01914" w:rsidRDefault="00D01914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Pr="00D01914" w:rsidRDefault="000D50A8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7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7D65" w:rsidRPr="00697D65">
        <w:rPr>
          <w:rFonts w:ascii="Times New Roman" w:hAnsi="Times New Roman" w:cs="Times New Roman"/>
          <w:sz w:val="24"/>
          <w:szCs w:val="24"/>
          <w:lang w:val="ru-RU"/>
        </w:rPr>
        <w:t>Приобретение в собственность для целей технологического перевооружения и модернизации производства российского и (или) импортного промышленного оборудования, а также его монтаж, наладка и иные мероприятия по его подготовке для серийного производства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Данная статья расходов предназначена для финансирования приобретения как отечественного, так и импортного  основного технологического и вспомог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ательного оборудования проекта,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непосредственного связанного с промышленным выпуском продукта проекта.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Статья не предусматривает возможность финансирования из средств займа расходов, направленных на строительство объектов капитального строительства (зданий, сооружений, линейных объектов), их ремонт, реконструкцию, модерниза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цию и прочие связанные расходы.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предусматривает расходы на приобретение оборудования, а также выполнение всех видов работ, связанных с монтажом оборудования, его вводом в эксплуатацию, проведением тестовых испытаний и выпуском опытных партий продукта проекта (при условии, что контракт на поставку оборудования предполагает завершение тестовых испытаний выпуском опытной партии).</w:t>
      </w:r>
    </w:p>
    <w:p w:rsidR="009E4F9F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выполнении части мероприятий собственными силами заявитель вправе запланировать расходы на оплату персонала и, если это требуется по проекту, на приобретение материалов и комплектующих, используемых для монтажа, наладки, ввода оборудования или проведения иных необходимых мероприятий для подг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отовки к серийному производству. 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привлечении подрядчиков стоимость их работ также может быть оплаче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на из средств займа.</w:t>
      </w:r>
    </w:p>
    <w:p w:rsid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96C5B" w:rsidRPr="00D01914" w:rsidRDefault="00F96C5B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4A22" w:rsidRPr="00F54A22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Статья 10.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Строительство и реконструкция объектов капитального строительства.</w:t>
      </w:r>
    </w:p>
    <w:p w:rsidR="00F54A22" w:rsidRPr="00F54A22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 Статья 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. Прочие капитальные вложения в проекте: приобретение зданий, сооружений, земельных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участков, иные вложения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A22">
        <w:rPr>
          <w:rFonts w:ascii="Times New Roman" w:hAnsi="Times New Roman" w:cs="Times New Roman"/>
          <w:sz w:val="24"/>
          <w:szCs w:val="24"/>
          <w:lang w:val="ru-RU"/>
        </w:rPr>
        <w:t>Смета проекта не предусматривает возможности финансирования расходов по ст. ст.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  и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из 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средств займа. Указанные направления работ в проекте подлежат финансированию за счет средств софинансирования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средств софинансирования и средств займа в Смете проекта.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Требования к минимальному объему софинансирования проекта со стороны заявителя определяются Программой финансирования «</w:t>
      </w:r>
      <w:r w:rsidR="00253D68" w:rsidRPr="00253D68">
        <w:rPr>
          <w:rFonts w:ascii="Times New Roman" w:hAnsi="Times New Roman" w:cs="Times New Roman"/>
          <w:sz w:val="24"/>
          <w:szCs w:val="24"/>
          <w:lang w:val="ru-RU"/>
        </w:rPr>
        <w:t>Повышение производительности труда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В Смете проекта Заявитель указывает средства софинансирования, вложенные в проект не ранее двух лет, предшествующих дате подачи Заявки. Например, для проекта, заявка на финансирование которого подана в </w:t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>сентябре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года, могут быть указаны средства софинансирования с  </w:t>
      </w:r>
      <w:r w:rsidR="00253D68">
        <w:rPr>
          <w:rFonts w:ascii="Times New Roman" w:hAnsi="Times New Roman" w:cs="Times New Roman"/>
          <w:sz w:val="24"/>
          <w:szCs w:val="24"/>
          <w:lang w:val="ru-RU"/>
        </w:rPr>
        <w:t>октябр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5330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На этапе комплексной экспертизы Заявитель обязан документально подтвердить Фонду понесенные в предшествующих периодах расходы по проекту.</w:t>
      </w:r>
    </w:p>
    <w:p w:rsidR="00D01914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Данные о понесенных расходах подлежат отражению в соответствующих графах по  годам до года заключения договора целевого займа. Суммарно они приводятся в разделе Сметы «Итого распределение по годам».</w:t>
      </w: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D65" w:rsidRDefault="00697D65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D65" w:rsidRDefault="00697D65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D65" w:rsidRDefault="00697D65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D65" w:rsidRDefault="00697D65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D65" w:rsidRDefault="00697D65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1EE" w:rsidRDefault="001A31E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1EE" w:rsidRDefault="001A31E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1EE" w:rsidRDefault="001A31E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7D65" w:rsidRDefault="00697D65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86"/>
        <w:gridCol w:w="2268"/>
        <w:gridCol w:w="2763"/>
      </w:tblGrid>
      <w:tr w:rsidR="00E0590E" w:rsidTr="005C5454">
        <w:trPr>
          <w:trHeight w:hRule="exact" w:val="461"/>
        </w:trPr>
        <w:tc>
          <w:tcPr>
            <w:tcW w:w="2055" w:type="dxa"/>
            <w:vMerge w:val="restart"/>
            <w:shd w:val="clear" w:color="auto" w:fill="D9D9D9"/>
          </w:tcPr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Default="00E0590E" w:rsidP="005C5454">
            <w:pPr>
              <w:pStyle w:val="TableParagraph"/>
              <w:spacing w:before="135" w:line="360" w:lineRule="auto"/>
              <w:ind w:left="103" w:right="740"/>
              <w:rPr>
                <w:sz w:val="16"/>
              </w:rPr>
            </w:pPr>
            <w:r>
              <w:rPr>
                <w:sz w:val="16"/>
              </w:rPr>
              <w:lastRenderedPageBreak/>
              <w:t>Источники софинансирования</w:t>
            </w:r>
          </w:p>
        </w:tc>
        <w:tc>
          <w:tcPr>
            <w:tcW w:w="7117" w:type="dxa"/>
            <w:gridSpan w:val="3"/>
            <w:shd w:val="clear" w:color="auto" w:fill="D9D9D9"/>
          </w:tcPr>
          <w:p w:rsidR="00E0590E" w:rsidRDefault="00E0590E" w:rsidP="008F085D">
            <w:pPr>
              <w:pStyle w:val="TableParagraph"/>
              <w:spacing w:before="85"/>
              <w:ind w:left="234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Софинансирование затрат по </w:t>
            </w:r>
            <w:r w:rsidR="008F085D"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роекту</w:t>
            </w:r>
          </w:p>
        </w:tc>
      </w:tr>
      <w:tr w:rsidR="00E0590E" w:rsidTr="008F085D">
        <w:trPr>
          <w:trHeight w:hRule="exact" w:val="1114"/>
        </w:trPr>
        <w:tc>
          <w:tcPr>
            <w:tcW w:w="2055" w:type="dxa"/>
            <w:vMerge/>
            <w:shd w:val="clear" w:color="auto" w:fill="D9D9D9"/>
          </w:tcPr>
          <w:p w:rsidR="00E0590E" w:rsidRDefault="00E0590E" w:rsidP="005C5454"/>
        </w:tc>
        <w:tc>
          <w:tcPr>
            <w:tcW w:w="2086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spacing w:before="135" w:line="360" w:lineRule="auto"/>
              <w:ind w:left="143" w:right="142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Осуществленное до даты заключения договора Займа</w:t>
            </w:r>
          </w:p>
        </w:tc>
        <w:tc>
          <w:tcPr>
            <w:tcW w:w="2268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spacing w:line="360" w:lineRule="auto"/>
              <w:ind w:left="165" w:right="169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Планируемое в срок не позднее 6 месяцев с даты заключения договора Займа</w:t>
            </w:r>
          </w:p>
        </w:tc>
        <w:tc>
          <w:tcPr>
            <w:tcW w:w="2763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Pr="00D01914" w:rsidRDefault="00E0590E" w:rsidP="005C5454">
            <w:pPr>
              <w:pStyle w:val="TableParagraph"/>
              <w:spacing w:before="9"/>
              <w:rPr>
                <w:rFonts w:ascii="Arial"/>
                <w:sz w:val="19"/>
                <w:lang w:val="ru-RU"/>
              </w:rPr>
            </w:pPr>
          </w:p>
          <w:p w:rsidR="00E0590E" w:rsidRDefault="00E0590E" w:rsidP="005C5454">
            <w:pPr>
              <w:pStyle w:val="TableParagraph"/>
              <w:ind w:left="564" w:right="56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E0590E" w:rsidRPr="00687D60" w:rsidTr="008F085D">
        <w:trPr>
          <w:trHeight w:hRule="exact" w:val="895"/>
        </w:trPr>
        <w:tc>
          <w:tcPr>
            <w:tcW w:w="2055" w:type="dxa"/>
          </w:tcPr>
          <w:p w:rsidR="00E0590E" w:rsidRPr="00D01914" w:rsidRDefault="00E0590E" w:rsidP="005C5454">
            <w:pPr>
              <w:pStyle w:val="TableParagraph"/>
              <w:spacing w:before="56" w:line="360" w:lineRule="auto"/>
              <w:ind w:left="103" w:right="5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2086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</w:tr>
      <w:tr w:rsidR="00E0590E" w:rsidRPr="00687D60" w:rsidTr="008F085D">
        <w:trPr>
          <w:trHeight w:hRule="exact" w:val="622"/>
        </w:trPr>
        <w:tc>
          <w:tcPr>
            <w:tcW w:w="2055" w:type="dxa"/>
          </w:tcPr>
          <w:p w:rsidR="00E0590E" w:rsidRPr="00D01914" w:rsidRDefault="00E0590E" w:rsidP="005C5454">
            <w:pPr>
              <w:pStyle w:val="TableParagraph"/>
              <w:spacing w:before="56" w:line="360" w:lineRule="auto"/>
              <w:ind w:left="103" w:right="58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Средства частных инвесторов и/или кредиты банков</w:t>
            </w:r>
          </w:p>
        </w:tc>
        <w:tc>
          <w:tcPr>
            <w:tcW w:w="2086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</w:tr>
      <w:tr w:rsidR="00E0590E" w:rsidTr="008F085D">
        <w:trPr>
          <w:trHeight w:hRule="exact" w:val="620"/>
        </w:trPr>
        <w:tc>
          <w:tcPr>
            <w:tcW w:w="2055" w:type="dxa"/>
          </w:tcPr>
          <w:p w:rsidR="00E0590E" w:rsidRDefault="00E0590E" w:rsidP="005C5454">
            <w:pPr>
              <w:pStyle w:val="TableParagraph"/>
              <w:spacing w:before="56"/>
              <w:ind w:left="103" w:right="740"/>
              <w:rPr>
                <w:sz w:val="16"/>
              </w:rPr>
            </w:pPr>
            <w:r>
              <w:rPr>
                <w:sz w:val="16"/>
              </w:rPr>
              <w:t>Итого средств</w:t>
            </w:r>
          </w:p>
          <w:p w:rsidR="00E0590E" w:rsidRDefault="00E0590E" w:rsidP="005C5454">
            <w:pPr>
              <w:pStyle w:val="TableParagraph"/>
              <w:spacing w:before="93"/>
              <w:ind w:right="5"/>
              <w:rPr>
                <w:sz w:val="16"/>
              </w:rPr>
            </w:pPr>
            <w:r>
              <w:rPr>
                <w:sz w:val="16"/>
              </w:rPr>
              <w:t>софинансирования</w:t>
            </w:r>
          </w:p>
        </w:tc>
        <w:tc>
          <w:tcPr>
            <w:tcW w:w="2086" w:type="dxa"/>
          </w:tcPr>
          <w:p w:rsidR="00E0590E" w:rsidRDefault="00E0590E" w:rsidP="005C5454"/>
        </w:tc>
        <w:tc>
          <w:tcPr>
            <w:tcW w:w="2268" w:type="dxa"/>
          </w:tcPr>
          <w:p w:rsidR="00E0590E" w:rsidRDefault="00E0590E" w:rsidP="005C5454"/>
        </w:tc>
        <w:tc>
          <w:tcPr>
            <w:tcW w:w="2763" w:type="dxa"/>
          </w:tcPr>
          <w:p w:rsidR="00E0590E" w:rsidRDefault="00E0590E" w:rsidP="005C5454"/>
        </w:tc>
      </w:tr>
    </w:tbl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D01914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О возможности изменения Сметы проекта.</w:t>
      </w:r>
    </w:p>
    <w:p w:rsidR="00D01914" w:rsidRDefault="00D01914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После заключения договора займа Смета проекта может быть скорректирована Заявителем без заключения дополнительного соглашения об изменении порядка расходования средств в проекте – такое изменение возможно при пере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распределении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 займа между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>целевого использования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10% от суммы займа.</w:t>
      </w:r>
    </w:p>
    <w:p w:rsidR="00E0590E" w:rsidRPr="00D01914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D01914" w:rsidRDefault="00E0590E" w:rsidP="000D50A8">
      <w:pPr>
        <w:pStyle w:val="a3"/>
        <w:jc w:val="both"/>
        <w:rPr>
          <w:sz w:val="21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</w:t>
      </w:r>
    </w:p>
    <w:sectPr w:rsidR="007814F9" w:rsidRPr="00D01914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D9" w:rsidRDefault="00D867D9">
      <w:r>
        <w:separator/>
      </w:r>
    </w:p>
  </w:endnote>
  <w:endnote w:type="continuationSeparator" w:id="0">
    <w:p w:rsidR="00D867D9" w:rsidRDefault="00D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D9" w:rsidRDefault="00D867D9">
      <w:r>
        <w:separator/>
      </w:r>
    </w:p>
  </w:footnote>
  <w:footnote w:type="continuationSeparator" w:id="0">
    <w:p w:rsidR="00D867D9" w:rsidRDefault="00D8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0" w:rsidRDefault="000D50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70" w:rsidRDefault="00A24370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" filled="f" stroked="f">
              <v:textbox inset="0,0,0,0">
                <w:txbxContent>
                  <w:p w:rsidR="00A24370" w:rsidRDefault="00A24370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9"/>
    <w:rsid w:val="000D50A8"/>
    <w:rsid w:val="00147FEB"/>
    <w:rsid w:val="001A0719"/>
    <w:rsid w:val="001A31EE"/>
    <w:rsid w:val="001E3F43"/>
    <w:rsid w:val="00237EE8"/>
    <w:rsid w:val="00253D68"/>
    <w:rsid w:val="00286B60"/>
    <w:rsid w:val="0036331E"/>
    <w:rsid w:val="00511838"/>
    <w:rsid w:val="00547E7D"/>
    <w:rsid w:val="005E2BF5"/>
    <w:rsid w:val="006023D0"/>
    <w:rsid w:val="006872E7"/>
    <w:rsid w:val="00687D60"/>
    <w:rsid w:val="00697D65"/>
    <w:rsid w:val="006D3DB0"/>
    <w:rsid w:val="0072768E"/>
    <w:rsid w:val="007814F9"/>
    <w:rsid w:val="00836D91"/>
    <w:rsid w:val="008F085D"/>
    <w:rsid w:val="009C68A8"/>
    <w:rsid w:val="009D1149"/>
    <w:rsid w:val="009E4F9F"/>
    <w:rsid w:val="00A24370"/>
    <w:rsid w:val="00A53304"/>
    <w:rsid w:val="00AC6BD5"/>
    <w:rsid w:val="00AD5FD3"/>
    <w:rsid w:val="00B61E20"/>
    <w:rsid w:val="00B629BA"/>
    <w:rsid w:val="00CB215F"/>
    <w:rsid w:val="00CE527C"/>
    <w:rsid w:val="00D01914"/>
    <w:rsid w:val="00D1020C"/>
    <w:rsid w:val="00D867D9"/>
    <w:rsid w:val="00DC689F"/>
    <w:rsid w:val="00E0590E"/>
    <w:rsid w:val="00E07DC5"/>
    <w:rsid w:val="00EB4633"/>
    <w:rsid w:val="00EE3128"/>
    <w:rsid w:val="00F54A22"/>
    <w:rsid w:val="00F84D5E"/>
    <w:rsid w:val="00F96C5B"/>
    <w:rsid w:val="00FA25CC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83B6"/>
  <w15:docId w15:val="{4AF6B5DA-0B47-4F9C-8906-5920105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A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71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9</cp:revision>
  <cp:lastPrinted>2019-09-19T08:40:00Z</cp:lastPrinted>
  <dcterms:created xsi:type="dcterms:W3CDTF">2019-05-31T07:19:00Z</dcterms:created>
  <dcterms:modified xsi:type="dcterms:W3CDTF">2019-12-03T09:15:00Z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